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DF47">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xml:space="preserve"> Қара жəне түсті металдар жіктелуі</w:t>
      </w:r>
    </w:p>
    <w:p w14:paraId="6D4EA9E3">
      <w:pPr>
        <w:spacing w:after="0" w:line="240" w:lineRule="auto"/>
        <w:ind w:firstLine="567"/>
        <w:jc w:val="both"/>
        <w:rPr>
          <w:rFonts w:ascii="Times New Roman" w:hAnsi="Times New Roman" w:cs="Times New Roman"/>
          <w:sz w:val="28"/>
          <w:szCs w:val="28"/>
        </w:rPr>
      </w:pPr>
    </w:p>
    <w:p w14:paraId="54A5DBD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Қысыммен өңдеуге деформацияланатын қара жəне түсті металдар ұшырайды. Қара металдарға темірді жəне оның негізіндегі қорытпаларды (болаттарды) жатқызады. Барлық қалған металдарды түсті деп атайды. Барлық болаттар стандартталған. КСРО-да стандарттаудың мемлекеттік жүйесі, болаттарды жіктелуі үшін бес белгілерді пайдаланады: химиялық құрамы, балқыту əдісі, сапасы, құрылымы жəне мақсаты. Осылайша, болат маркасы – бұл болат құрамына кіретін компоненттердің белгілі бір үйлесуі мен мөлшері ғана емес, балқыту мен қышқылсызданудан бастап дайындау технологиясымен анықталатын қасиеттер кешені. Химиялық құрамы бойынша көміртекті болаттар, легірленген болаттар жəне қорытпалар деп ажыратады. Көміртекті болаттар құрамында белгілі бір қасиеттерді алу үшін енгізілетін легірлеуші қоспалар болмайды. Si, Mn, Al, Ti сияқты элементтерді балқыту технологиясымен шартталған аз мөлшерде енгізеді (технологиялық қосындылар). Болатта қалдықты элементтер кездесуі мүмкін, көбіне S, P, Cu, олардың жоғарғы шегі стандарттарда «көп емес» деп нормаланады. Көміртекті болаттарды көміртек мөлшеріне байланысты азкөміртекті (&lt;C0.6% C) деп ажыратады. Легірленген болаттарға, бір немесе бірнеше легірлеуші элементтері бар болаттарды жатқызады. Элементті легірлеуші деп, егер оның мөлшері «кем емес» төменгі шекпен, немесе екі – төменгі жəне жоғарғы шекпен регламенттелген болса атайды. Легірлеуші элементтердің қосынды мөлшеріне байланысты, легірленген болаттарды аз легірленген (10%, бірақ легірлеуші элементінің ≥8% мөлшері кезінде) болып бөледі. Кейбір стандарттарда легірленген болаттар, легірлеуші элемент түріне байланысты, хромды (20Х, 12Х13), марганцты (14Г, 65Г2), кремнийлі (55С2), хромникельді (40ХН, 12Х18Н10), хромникельмолибденді (40ХНМА) жəне басқа болаттар (ішкі классификация) болып бөлінеді. Қара металлургияда қорытпаларға егер ондағы темір мөлшері 50% аспайтын болса, екі немесе одан көп элементтер қорытпаларын жатқызады. Ерекшелік ретінде, кейде 50% жоғары мөлшерде Fe болған жағдайда13 қорытпалар прецизионды болып келеді. Қорытпалар негіз бойынша бөлінеді (никель, темір негізінде жəне т.с.с.). Сапасы бойынша кəдімгі сападағы болаттар жəне жоғары химиялық жəне құрылымдық біртектілігімен, зиян қалдықты элементтер, бастысы күкірт пен фтордың төмен мөлшерімен, сонымен қатар нормаланатын жəне кепілденетін сапа көрсеткіштерінің көп мөлшерімен ерекшеленетін сапалы болаттар деп ажыратады. Кəдімгі сападағы көміртекті болатты МЕСТ 380-71 сəйкес прокат түрінде шығарады. Стандартта, жеткізу күйінде кепілденетін, көрсеткіштер түріне байланысты болаттардың үш – А, Б, В топтарын шығару қарастырылған. А тобы үшін – бұл механикалық қасиеттер (Ст0, Ст1кп, Ст2пс, Ст3пс, Ст6Гпс), Б тобы үшін – химиялық құрамы (БСт0, БСт1кп, БСт2пс, БСт3Гпс), ал В тобы үшін – механикалық қасиеттері мен химиялық құрамы (ВСт1кп, ВСт3, ВСт4пс, ВСт5пс). Болат маркасында Ст белгіленуі «болат» деген сөзді, сан – марка номерін, кп, пс əріптері – сəйкесінше қайнау жəне жартылай тыныш, яғни қышқылсыздану – сұйық металдан оттегінің жойылу дəрежесін білдіреді. Тыныш болаттар (индекс қойылмайды) жақсы қышқылсызданған, оттегі мөлшері аз жəне газ шығармай қатаяды. Қайнайтын болаттар жеткіліксіз қышқылсызданған. Оттегі бөлшектеп көміртегімен əрекеттеседі жəне қатаю кезінде, қайнау эффектісін тудыра отырып, алайда аса маңыздысы қатаюдан кейін болатта көп мөлшерде қала отырып, СО көпіршіктерін бөледі. Г əрпі болаттағы марганецтің жоғары мөлшерін білдіреді. Əрбір топтың ішінде нормаланатын көрсеткіштің нақты түрі көрсетілетін, болаттар категориялары қарастырылған; категория номері, біріншіден басқа, тотықсыздану түрінен кейін қойылады (Ст3пс2). Конбетукциялық сапалы көміртекті болат МЕСТ 1050-74 бойынша, ал құралдық МЕСТ 1435-74 бойынша кепілденген механикалық қасиеттерімен жəне химиялық құрамымен жеткізіледі. Сапалы болаттар құрамында зиян қоспалар (күкірт пен фосфор) мөлшері төмен болады. Күкірт пен фосфор мөлшері өте аз болаттарды жоғары сапалы категориясына жатқызады, оны марка соңында тұратын А əрпі куəландырады (мысалы, 18ХНВА немесе У7А). Бағыты бойынша бола</w:t>
      </w:r>
      <w:r>
        <w:rPr>
          <w:rFonts w:ascii="Times New Roman" w:hAnsi="Times New Roman" w:cs="Times New Roman"/>
          <w:sz w:val="28"/>
          <w:szCs w:val="28"/>
        </w:rPr>
        <w:t>ттың үш тобын ажыратады: конбетукциялық, құралдық жəне арнайы қасиеттері бар. Конбетукциялық легірленген болаттар МЕСТ 4543-71 бойынша, ал құралдық легірленген – МЕСТ 5950-73 бойынша жеткізіледі. Бұл топтардың əрқайсысын, қолданудың аса тар аймақтарына бөлу қарастырылған. Мысалы, конбетукциялық болаттар арасында шарикті жəне роликті подшипниктер бөлшектері үшін қажет болаттарды бөледі (МЕСТ 801- 78), құралдық арасында – кесу құралдары үшін, штамптар мен соғу құралдары үшін арналған болаттар. Арнайы жоғары легірленген болаттар мен қорытпалар МЕСТ 5632-72 (химиялық құрамы мен мəні) бойынша жеткізіледі жəне бағыты бойынша топтарға бөлінеді, олардың көптігі болаттың өндірісте жəне ауыл шаруашылығында кеңінен пайдаланылуына сəйкес келеді. Негізгілер ретінде14 электртехникалық, пісіру, коррозияға тұрақты, ыстыққа төзімді, ыстыққа берік жəне т.б. болаттарды бөліп көрсетуге болады. Құрылымы бойынша болаттарды күйдірілген жəне қалыптанған күйлерде классификациялау қарастырылған. Күйдірілген күйдегі болаттарды төрт топқа бөледі: 1) эвтектоидқа дейінгі болаттар, құрамында 0,8% аспайтын көміртегі болады, құрылымы – перлит пен феррит (30Х,30ХГСА жəне т.б.); 2) эвтектоидты болаттар, құрамында 0,8-0,9% көміртегі болады, құрылымы – перлит (9ХС); 3) эвтектоидтан кейінгі болаттар, құрамында 1%- дан аса көміртегі болады, құрылымы – перлит пен цементит (ХВГ); 4) ледебуритті болаттар, құрамында 1,7%-дан аса көміртегі болады, жоғары легірленген, оның құрылымында ледебурит болады (Х12, Р18). Қалыптанған күйдегі болаттарды келесі топтарға бөледі, олардың атауы негізгі құрылымды анықтайды: феритті (08Х13, 12Х17, 08Х17Т), перлитті (18ХНМА, ШХ15), аустенитті (12Х18Н9, 08Х18Н10Т, 12Х18Н10П), мартенситті (30Х13, 40Х9С2) жəне т.б. Құрылымы бойынша классификациялау көп мөлшерде болат қасиеттерін көрсетеді, оның ішінде қызметтік, яғни оның қолданылу аймағын анықтайды. Қара металдармен салыстырғанда түсті металдарды металлургия мен машина жасауда дерліктей аз көлемде өңдеуге ұшыратады. Алайда ұшақ жасау, электртехника, радиотехника сияқты жəне кейбір басқа салаларда, мəселен негізінде қысыммен өңдеу өнімдерінің түрінде, түсті металдардың қолданылуы өте ауқымды. Қазіргі уақытта өнеркəсіпте кеңінен таралымға мыс, алюминий, магний жəне титан негізіндегі қорытпалардың төрт тобы ие болды. Жеке зауыттарда, қысыммен ауыр (қорғасын, никель, мырыш), сирек жəне қиын балқитын (молибден, вольфрам), сонымен қатар асыл (алтын, күміс, платина жəне оның қорытпалары) металдар өңделеді. Техникалық мыс жоғары электр өткізгіштікке, жылуөткізгіштікке, коррозиялық тұрақтылыққа ие, ыстық жəне суық күйлерде қысыммен жақсы өңделеді, бұл оның өнеркəсібінің барлық салаларында, таза жəне оның негізінде жасалған қорытпалар түрінде кеңінен қолданылуын көрсетеді. Техникалық мыс маркалары қоспалар мөлшерімен ажыратылады. Мысалы, М0 маркасында мыс мөлшері 99,95% кем емес, М1 маркасында – 99,9%, ал М4 маркасында 99,0% болуы керек. Əртүрлі тазалықтағы мыстан сымдар, шыбықтар, жаймалар, қиықтар, ленталар, фольгалар, құбырлар, оралған жəне престелген əртүрлі өлшемдегі кескіндер дайындалады. Мыс қорытпаларының ішінде кеңінен таралғаны мырышпен қорытпасы – жез болып табылады. Тəжірибелік қолданысқа, құрамында 50% дейін мырыш болатын жез ие. Л96, Л85, Л68, Л63 маркалы жез (сандар қорытпадағы мыстың орташа мөлшерін көрсетеді) жеткілікті жақсы механикалық қасиеттерге ие, ыстық жəне суық күйлерде қысыммен жақсы өңделеді. Құрамында мыс пен мырыштан өзге басқа металдар болатын жез, арнайы жез деп аталады. Жақсы деформацияланатын арнайы жездерге алюминийлі (ЛА85-0,5, ЛА 77-2), қорғасынды (ЛС 59-1, ЛС 63-3)15 жəне т.б. жездер жатады. Маркадағы екінші сан екінші элемент мөлшерін көрсетеді (%). Негізгі легірлеуші элементтері ретінде қалайы, алюминий, марганец, кремний, бериллий, темір болатын мыс қорытпаларын қола деп атайды. Бұл атау негізгі легірлеуші компонент бойынша берілген. Мысалы, қалайылы қола Бр.ОФ 6,5-0,15, «Бр» əріптерімен қола белгіленген, одан кейін қолаға кіретін элементтердің (қалайы мен фосфор) əріптік белгіленуі жəне олардың орташа мөлш</w:t>
      </w:r>
      <w:r>
        <w:rPr>
          <w:rFonts w:ascii="Times New Roman" w:hAnsi="Times New Roman" w:cs="Times New Roman"/>
          <w:sz w:val="28"/>
          <w:szCs w:val="28"/>
        </w:rPr>
        <w:t xml:space="preserve">ерінің сандық мəндері тұрады. Қазіргі уақытта негізінде қалайысыз (арнайы) қола қолданылады, олар өзінің қасиеттері бойынша қалайылы қоладан жақсы болып келеді. Мысалы, алюминиймен (БрА7), алюминий, темір жəне марганецпен (БрАЖМц 10-3,0-1,5) қорытпалары, берилийлі қола (БрБ2) жəне басқалары. Өнеркəсіптің əртүрлі салаларында кеңінен таралымға алюминий ие болды – ол жеңіл металл (тығыздығы 2,7), аса берік емес, алайда пластикалығы жоғары (σ=40÷45). Алюминий, ол оның кейінгі коррозиядан сақтайтын, тотықтар қабыршығы салдарынан жоғары коррозиялық тұрақтылыққа ие. Қысыммен өңдеу температурасы 470-390 0С. Кабель бұйымдарын, фольга, ыдыс шаруашылығы, бұйымдарын жасау үшін А1 (99,8% алюминий) жəне А2 (99,0% алюминий) маркалы алюминийді пайдаланады. Өнеркəсіпте, əсіресе ұшақ жасау мен мотор жасауда, деформацияланатын алюминий қорытпалары кеңінен қолданылады. Аз ғана тығыздықтың жоғары беріктілікпен (700 МПа) үйлесімі, алюминий қорытпаларын арзан эффективті конбетукциялық материал етіп жасайды. Алюминий қорытпаларында легірлеуші компоненттері мыс, магний, марганец, ал ыстыққа төзімділерде – никель мен темір болып табылады. АМг6 (5,8-6,8% Mg жəне 0,5-0,8% Mn), дюралюминий Д16 (3,8-4,9% Cu, 1,2-1,8% Mg жəне 0,4-0,8% Mn), АК6 (1,8- 2,6% Cu, 0,4-0,8 Mg, 0,4-0,8 Mn жəне 0,7-1,2% Si) сияқты жəне көптеген басқа қорытпаларды, фюзеляжды қаптау үшін ұшақ жасауда, қозғалтқыш бөлшектерін, ауа бұрандаларын жəне т.б. дайындауда жайма, ленталар, гофра, үлгілі кескіндер мен шыңдалғы түрінде қолданады. Аса жеңіл конбетукциялық материал магний қорытпалары болып табылады (тығыздығы 1,8). Авиациялық өнеркəсіптен басқа, магний қорытпаларын автомобиль жасауда (автомобиль дискілері, тежеу барабандары үшін) құрылыстық техникада (құралдар корпустары, оның ішінде фотоаппараттар үшін) қолданылады. Магний қорытпаларын балқыту кезінде легірлеуші қоспалар ретінде алюминий, мырыш, марганец қолданылады. Аса кеңінен қолданысқа ие болған МА2, МА5, МА8, ВМ65-1 (циркониймен) қорытпалары. Авиациялық жəне космостық техникада заманауи конбетукциялық металдық материалдары титан мен оның қорытпалары болды. Титан артықшылықтарына төмен тығыздығын (4,5), жоғары меншікті беріктілігін, коррозияға тұрақтылығын жəне ыстыққа төзімділігін жатқызады. Кеңінен16 қолданысқа ие болғаны ВТ1 (99,3% Ti), ВТ3-1 (5% Al, 2,5% Cr жəне 1,9% Mo), ВТ8 (6% Al, 4% V), ВТ14 (4% Al жəне 3% Mo) т.б. қорытпалары. </w:t>
      </w:r>
    </w:p>
    <w:p w14:paraId="55039B5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141-143), [2] (бет 32-44) </w:t>
      </w:r>
    </w:p>
    <w:p w14:paraId="36DADD2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Қара металдарға қандай металдар жатады? 2. Сымдау үшін қандай болаттарды қолданады? 3. Металдар мен қорытпалардың негізгі механикалық қасиеттерін атаңыз? 4. Металдар мен қорытпалардың ішкі құрылысы қандай? 5. Болаттардың сапасы бойынша жіктелуі 6. Болаттардың қолданылу бағыты бойынша жіктелуі 7. Болаттардың құрылымы бойынша жіктелуі </w:t>
      </w:r>
    </w:p>
    <w:p w14:paraId="21272E1C">
      <w:pPr>
        <w:spacing w:after="0" w:line="240" w:lineRule="auto"/>
        <w:ind w:firstLine="567"/>
        <w:jc w:val="both"/>
        <w:rPr>
          <w:rFonts w:ascii="Times New Roman" w:hAnsi="Times New Roman" w:cs="Times New Roman"/>
          <w:sz w:val="28"/>
          <w:szCs w:val="28"/>
          <w:lang w:val="kk-KZ"/>
        </w:rPr>
      </w:pPr>
    </w:p>
    <w:p w14:paraId="2BD9EB8E">
      <w:pPr>
        <w:spacing w:after="0" w:line="240" w:lineRule="auto"/>
        <w:ind w:firstLine="567"/>
        <w:jc w:val="both"/>
        <w:rPr>
          <w:rFonts w:ascii="Times New Roman" w:hAnsi="Times New Roman" w:cs="Times New Roman"/>
          <w:sz w:val="28"/>
          <w:szCs w:val="28"/>
          <w:lang w:val="kk-KZ"/>
        </w:rPr>
      </w:pPr>
    </w:p>
    <w:p w14:paraId="6C6B5F75">
      <w:pPr>
        <w:spacing w:after="0" w:line="240" w:lineRule="auto"/>
        <w:ind w:firstLine="567"/>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w:t>
      </w:r>
    </w:p>
    <w:p w14:paraId="4F4BF7D3">
      <w:pPr>
        <w:spacing w:after="0" w:line="240" w:lineRule="auto"/>
        <w:ind w:firstLine="567"/>
        <w:jc w:val="both"/>
        <w:rPr>
          <w:rFonts w:hint="default" w:ascii="Times New Roman" w:hAnsi="Times New Roman" w:cs="Times New Roman"/>
          <w:sz w:val="28"/>
          <w:szCs w:val="28"/>
          <w:lang w:val="ru-RU"/>
        </w:rPr>
      </w:pPr>
    </w:p>
    <w:p w14:paraId="5E263172">
      <w:pPr>
        <w:spacing w:after="0" w:line="240" w:lineRule="auto"/>
        <w:ind w:firstLine="567"/>
        <w:jc w:val="both"/>
        <w:rPr>
          <w:rFonts w:hint="default" w:ascii="Times New Roman" w:hAnsi="Times New Roman" w:cs="Times New Roman"/>
          <w:sz w:val="28"/>
          <w:szCs w:val="28"/>
          <w:lang w:val="ru-RU"/>
        </w:rPr>
      </w:pPr>
    </w:p>
    <w:p w14:paraId="13788EEB">
      <w:pPr>
        <w:spacing w:after="0" w:line="240" w:lineRule="auto"/>
        <w:ind w:firstLine="567"/>
        <w:jc w:val="both"/>
        <w:rPr>
          <w:rFonts w:hint="default" w:ascii="Times New Roman" w:hAnsi="Times New Roman" w:cs="Times New Roman"/>
          <w:sz w:val="28"/>
          <w:szCs w:val="28"/>
          <w:lang w:val="ru-RU"/>
        </w:rPr>
      </w:pPr>
    </w:p>
    <w:p w14:paraId="3E8E0366">
      <w:pPr>
        <w:spacing w:after="0" w:line="240" w:lineRule="auto"/>
        <w:ind w:firstLine="567"/>
        <w:jc w:val="both"/>
        <w:rPr>
          <w:rFonts w:hint="default" w:ascii="Times New Roman" w:hAnsi="Times New Roman" w:cs="Times New Roman"/>
          <w:sz w:val="28"/>
          <w:szCs w:val="28"/>
          <w:lang w:val="ru-RU"/>
        </w:rPr>
      </w:pPr>
    </w:p>
    <w:p w14:paraId="3C193A2D">
      <w:pPr>
        <w:spacing w:after="0" w:line="240" w:lineRule="auto"/>
        <w:ind w:firstLine="567"/>
        <w:jc w:val="both"/>
        <w:rPr>
          <w:rFonts w:hint="default" w:ascii="Times New Roman" w:hAnsi="Times New Roman" w:cs="Times New Roman"/>
          <w:sz w:val="28"/>
          <w:szCs w:val="28"/>
          <w:lang w:val="ru-RU"/>
        </w:rPr>
      </w:pPr>
    </w:p>
    <w:p w14:paraId="12DA4D9C">
      <w:pPr>
        <w:spacing w:after="0" w:line="240" w:lineRule="auto"/>
        <w:ind w:firstLine="567"/>
        <w:jc w:val="both"/>
        <w:rPr>
          <w:rFonts w:hint="default" w:ascii="Times New Roman" w:hAnsi="Times New Roman" w:cs="Times New Roman"/>
          <w:sz w:val="28"/>
          <w:szCs w:val="28"/>
          <w:lang w:val="ru-RU"/>
        </w:rPr>
      </w:pPr>
    </w:p>
    <w:p w14:paraId="51551F62">
      <w:pPr>
        <w:spacing w:after="0" w:line="240" w:lineRule="auto"/>
        <w:ind w:firstLine="567"/>
        <w:jc w:val="both"/>
        <w:rPr>
          <w:rFonts w:hint="default" w:ascii="Times New Roman" w:hAnsi="Times New Roman" w:cs="Times New Roman"/>
          <w:sz w:val="28"/>
          <w:szCs w:val="28"/>
          <w:lang w:val="ru-RU"/>
        </w:rPr>
      </w:pPr>
    </w:p>
    <w:p w14:paraId="39EAF748">
      <w:pPr>
        <w:spacing w:after="0" w:line="240" w:lineRule="auto"/>
        <w:ind w:firstLine="567"/>
        <w:jc w:val="both"/>
        <w:rPr>
          <w:rFonts w:hint="default" w:ascii="Times New Roman" w:hAnsi="Times New Roman" w:cs="Times New Roman"/>
          <w:sz w:val="28"/>
          <w:szCs w:val="28"/>
          <w:lang w:val="ru-RU"/>
        </w:rPr>
      </w:pPr>
    </w:p>
    <w:p w14:paraId="45147279">
      <w:pPr>
        <w:spacing w:after="0" w:line="240" w:lineRule="auto"/>
        <w:ind w:firstLine="567"/>
        <w:jc w:val="both"/>
        <w:rPr>
          <w:rFonts w:hint="default" w:ascii="Times New Roman" w:hAnsi="Times New Roman" w:cs="Times New Roman"/>
          <w:sz w:val="28"/>
          <w:szCs w:val="28"/>
          <w:lang w:val="ru-RU"/>
        </w:rPr>
      </w:pPr>
    </w:p>
    <w:p w14:paraId="76BB5AE4">
      <w:pPr>
        <w:spacing w:after="0" w:line="240" w:lineRule="auto"/>
        <w:ind w:firstLine="567"/>
        <w:jc w:val="both"/>
        <w:rPr>
          <w:rFonts w:hint="default" w:ascii="Times New Roman" w:hAnsi="Times New Roman" w:cs="Times New Roman"/>
          <w:sz w:val="28"/>
          <w:szCs w:val="28"/>
          <w:lang w:val="ru-RU"/>
        </w:rPr>
      </w:pPr>
    </w:p>
    <w:p w14:paraId="1C56CCE0">
      <w:pPr>
        <w:spacing w:after="0" w:line="240" w:lineRule="auto"/>
        <w:ind w:firstLine="567"/>
        <w:jc w:val="both"/>
        <w:rPr>
          <w:rFonts w:hint="default" w:ascii="Times New Roman" w:hAnsi="Times New Roman" w:cs="Times New Roman"/>
          <w:sz w:val="28"/>
          <w:szCs w:val="28"/>
          <w:lang w:val="ru-RU"/>
        </w:rPr>
      </w:pPr>
    </w:p>
    <w:p w14:paraId="2469E279">
      <w:pPr>
        <w:spacing w:after="0" w:line="240" w:lineRule="auto"/>
        <w:ind w:firstLine="567"/>
        <w:jc w:val="both"/>
        <w:rPr>
          <w:rFonts w:hint="default" w:ascii="Times New Roman" w:hAnsi="Times New Roman" w:cs="Times New Roman"/>
          <w:sz w:val="28"/>
          <w:szCs w:val="28"/>
          <w:lang w:val="ru-RU"/>
        </w:rPr>
      </w:pPr>
    </w:p>
    <w:p w14:paraId="67D30BF3">
      <w:pPr>
        <w:spacing w:after="0" w:line="240" w:lineRule="auto"/>
        <w:ind w:firstLine="567"/>
        <w:jc w:val="both"/>
        <w:rPr>
          <w:rFonts w:hint="default" w:ascii="Times New Roman" w:hAnsi="Times New Roman" w:cs="Times New Roman"/>
          <w:sz w:val="28"/>
          <w:szCs w:val="28"/>
          <w:lang w:val="ru-RU"/>
        </w:rPr>
      </w:pPr>
    </w:p>
    <w:p w14:paraId="407C638D">
      <w:pPr>
        <w:spacing w:after="0" w:line="240" w:lineRule="auto"/>
        <w:ind w:firstLine="567"/>
        <w:jc w:val="both"/>
        <w:rPr>
          <w:rFonts w:hint="default" w:ascii="Times New Roman" w:hAnsi="Times New Roman" w:cs="Times New Roman"/>
          <w:sz w:val="28"/>
          <w:szCs w:val="28"/>
          <w:lang w:val="ru-RU"/>
        </w:rPr>
      </w:pPr>
    </w:p>
    <w:p w14:paraId="0D470955">
      <w:pPr>
        <w:spacing w:after="0" w:line="240" w:lineRule="auto"/>
        <w:ind w:firstLine="567"/>
        <w:jc w:val="both"/>
        <w:rPr>
          <w:rFonts w:hint="default" w:ascii="Times New Roman" w:hAnsi="Times New Roman" w:cs="Times New Roman"/>
          <w:sz w:val="28"/>
          <w:szCs w:val="28"/>
          <w:lang w:val="ru-RU"/>
        </w:rPr>
      </w:pPr>
    </w:p>
    <w:p w14:paraId="13F9C08A">
      <w:pPr>
        <w:spacing w:after="0" w:line="240" w:lineRule="auto"/>
        <w:ind w:firstLine="567"/>
        <w:jc w:val="both"/>
        <w:rPr>
          <w:rFonts w:hint="default" w:ascii="Times New Roman" w:hAnsi="Times New Roman" w:cs="Times New Roman"/>
          <w:sz w:val="28"/>
          <w:szCs w:val="28"/>
          <w:lang w:val="ru-RU"/>
        </w:rPr>
      </w:pPr>
    </w:p>
    <w:p w14:paraId="71DF6782">
      <w:pPr>
        <w:spacing w:after="0" w:line="240" w:lineRule="auto"/>
        <w:ind w:firstLine="567"/>
        <w:jc w:val="both"/>
        <w:rPr>
          <w:rFonts w:hint="default" w:ascii="Times New Roman" w:hAnsi="Times New Roman" w:cs="Times New Roman"/>
          <w:sz w:val="28"/>
          <w:szCs w:val="28"/>
          <w:lang w:val="ru-RU"/>
        </w:rPr>
      </w:pPr>
    </w:p>
    <w:p w14:paraId="6140B095">
      <w:pPr>
        <w:spacing w:after="0" w:line="240" w:lineRule="auto"/>
        <w:ind w:firstLine="567"/>
        <w:jc w:val="both"/>
        <w:rPr>
          <w:rFonts w:hint="default" w:ascii="Times New Roman" w:hAnsi="Times New Roman" w:cs="Times New Roman"/>
          <w:sz w:val="28"/>
          <w:szCs w:val="28"/>
          <w:lang w:val="ru-RU"/>
        </w:rPr>
      </w:pPr>
    </w:p>
    <w:p w14:paraId="0F7C6163">
      <w:pPr>
        <w:spacing w:after="0" w:line="240" w:lineRule="auto"/>
        <w:ind w:firstLine="567"/>
        <w:jc w:val="both"/>
        <w:rPr>
          <w:rFonts w:hint="default" w:ascii="Times New Roman" w:hAnsi="Times New Roman" w:cs="Times New Roman"/>
          <w:sz w:val="28"/>
          <w:szCs w:val="28"/>
          <w:lang w:val="ru-RU"/>
        </w:rPr>
      </w:pPr>
    </w:p>
    <w:p w14:paraId="256F7C5C">
      <w:pPr>
        <w:spacing w:after="0" w:line="240" w:lineRule="auto"/>
        <w:ind w:firstLine="567"/>
        <w:jc w:val="both"/>
        <w:rPr>
          <w:rFonts w:hint="default" w:ascii="Times New Roman" w:hAnsi="Times New Roman" w:cs="Times New Roman"/>
          <w:sz w:val="28"/>
          <w:szCs w:val="28"/>
          <w:lang w:val="ru-RU"/>
        </w:rPr>
      </w:pPr>
    </w:p>
    <w:p w14:paraId="72A99363">
      <w:pPr>
        <w:spacing w:after="0" w:line="240" w:lineRule="auto"/>
        <w:ind w:firstLine="567"/>
        <w:jc w:val="both"/>
        <w:rPr>
          <w:rFonts w:hint="default" w:ascii="Times New Roman" w:hAnsi="Times New Roman" w:cs="Times New Roman"/>
          <w:sz w:val="28"/>
          <w:szCs w:val="28"/>
          <w:lang w:val="ru-RU"/>
        </w:rPr>
      </w:pPr>
    </w:p>
    <w:p w14:paraId="161EA8CD">
      <w:pPr>
        <w:spacing w:after="0" w:line="240" w:lineRule="auto"/>
        <w:ind w:firstLine="567"/>
        <w:jc w:val="both"/>
        <w:rPr>
          <w:rFonts w:hint="default" w:ascii="Times New Roman" w:hAnsi="Times New Roman" w:cs="Times New Roman"/>
          <w:sz w:val="28"/>
          <w:szCs w:val="28"/>
          <w:lang w:val="ru-RU"/>
        </w:rPr>
      </w:pPr>
    </w:p>
    <w:p w14:paraId="0599DBB1">
      <w:pPr>
        <w:spacing w:after="0" w:line="240" w:lineRule="auto"/>
        <w:ind w:firstLine="567"/>
        <w:jc w:val="both"/>
        <w:rPr>
          <w:rFonts w:hint="default" w:ascii="Times New Roman" w:hAnsi="Times New Roman" w:cs="Times New Roman"/>
          <w:sz w:val="28"/>
          <w:szCs w:val="28"/>
          <w:lang w:val="ru-RU"/>
        </w:rPr>
      </w:pPr>
    </w:p>
    <w:p w14:paraId="183905ED">
      <w:pPr>
        <w:spacing w:after="0" w:line="240" w:lineRule="auto"/>
        <w:ind w:firstLine="567"/>
        <w:jc w:val="both"/>
        <w:rPr>
          <w:rFonts w:hint="default" w:ascii="Times New Roman" w:hAnsi="Times New Roman" w:cs="Times New Roman"/>
          <w:sz w:val="28"/>
          <w:szCs w:val="28"/>
          <w:lang w:val="ru-RU"/>
        </w:rPr>
      </w:pPr>
    </w:p>
    <w:p w14:paraId="564F008E">
      <w:pPr>
        <w:spacing w:after="0" w:line="240" w:lineRule="auto"/>
        <w:ind w:firstLine="567"/>
        <w:jc w:val="both"/>
        <w:rPr>
          <w:rFonts w:hint="default" w:ascii="Times New Roman" w:hAnsi="Times New Roman" w:cs="Times New Roman"/>
          <w:sz w:val="28"/>
          <w:szCs w:val="28"/>
          <w:lang w:val="ru-RU"/>
        </w:rPr>
      </w:pPr>
    </w:p>
    <w:p w14:paraId="17D57300">
      <w:pPr>
        <w:spacing w:after="0" w:line="240" w:lineRule="auto"/>
        <w:ind w:firstLine="567"/>
        <w:jc w:val="both"/>
        <w:rPr>
          <w:rFonts w:hint="default" w:ascii="Times New Roman" w:hAnsi="Times New Roman" w:cs="Times New Roman"/>
          <w:sz w:val="28"/>
          <w:szCs w:val="28"/>
          <w:lang w:val="ru-RU"/>
        </w:rPr>
      </w:pPr>
    </w:p>
    <w:p w14:paraId="5C8B5839">
      <w:pPr>
        <w:spacing w:after="0" w:line="240" w:lineRule="auto"/>
        <w:ind w:firstLine="567"/>
        <w:jc w:val="both"/>
        <w:rPr>
          <w:rFonts w:hint="default" w:ascii="Times New Roman" w:hAnsi="Times New Roman" w:cs="Times New Roman"/>
          <w:sz w:val="28"/>
          <w:szCs w:val="28"/>
          <w:lang w:val="ru-RU"/>
        </w:rPr>
      </w:pPr>
    </w:p>
    <w:p w14:paraId="2D6B31BC">
      <w:pPr>
        <w:spacing w:after="0" w:line="240" w:lineRule="auto"/>
        <w:ind w:firstLine="567"/>
        <w:jc w:val="both"/>
        <w:rPr>
          <w:rFonts w:hint="default" w:ascii="Times New Roman" w:hAnsi="Times New Roman" w:cs="Times New Roman"/>
          <w:sz w:val="28"/>
          <w:szCs w:val="28"/>
          <w:lang w:val="ru-RU"/>
        </w:rPr>
      </w:pPr>
    </w:p>
    <w:p w14:paraId="71816890">
      <w:pPr>
        <w:spacing w:after="0" w:line="240" w:lineRule="auto"/>
        <w:ind w:firstLine="567"/>
        <w:jc w:val="both"/>
        <w:rPr>
          <w:rFonts w:hint="default" w:ascii="Times New Roman" w:hAnsi="Times New Roman" w:cs="Times New Roman"/>
          <w:sz w:val="28"/>
          <w:szCs w:val="28"/>
          <w:lang w:val="ru-RU"/>
        </w:rPr>
      </w:pPr>
    </w:p>
    <w:p w14:paraId="573A8DE3">
      <w:pPr>
        <w:spacing w:after="0" w:line="240" w:lineRule="auto"/>
        <w:ind w:firstLine="567"/>
        <w:jc w:val="both"/>
        <w:rPr>
          <w:rFonts w:hint="default" w:ascii="Times New Roman" w:hAnsi="Times New Roman" w:cs="Times New Roman"/>
          <w:sz w:val="28"/>
          <w:szCs w:val="28"/>
          <w:lang w:val="ru-RU"/>
        </w:rPr>
      </w:pPr>
    </w:p>
    <w:p w14:paraId="2B1E7AFA">
      <w:pPr>
        <w:spacing w:after="0" w:line="240" w:lineRule="auto"/>
        <w:ind w:firstLine="567"/>
        <w:jc w:val="both"/>
        <w:rPr>
          <w:rFonts w:hint="default" w:ascii="Times New Roman" w:hAnsi="Times New Roman" w:cs="Times New Roman"/>
          <w:sz w:val="28"/>
          <w:szCs w:val="28"/>
          <w:lang w:val="ru-RU"/>
        </w:rPr>
      </w:pPr>
    </w:p>
    <w:p w14:paraId="3B66894F">
      <w:pPr>
        <w:spacing w:after="0" w:line="240" w:lineRule="auto"/>
        <w:ind w:firstLine="567"/>
        <w:jc w:val="both"/>
        <w:rPr>
          <w:rFonts w:hint="default" w:ascii="Times New Roman" w:hAnsi="Times New Roman" w:cs="Times New Roman"/>
          <w:sz w:val="28"/>
          <w:szCs w:val="28"/>
          <w:lang w:val="ru-RU"/>
        </w:rPr>
      </w:pPr>
      <w:bookmarkStart w:id="0" w:name="_GoBack"/>
      <w:bookmarkEnd w:id="0"/>
    </w:p>
    <w:p w14:paraId="6DBCA0C2">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44776C0C"/>
    <w:rsid w:val="4FC95B5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14171</Words>
  <Characters>80775</Characters>
  <Lines>673</Lines>
  <Paragraphs>189</Paragraphs>
  <TotalTime>400</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2025-09-30T19:42:17Z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